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好房子</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建设项目案例自评表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default" w:ascii="Times New Roman" w:hAnsi="Times New Roman" w:eastAsia="楷体_GB2312" w:cs="Times New Roman"/>
          <w:b/>
          <w:bCs/>
          <w:color w:val="auto"/>
          <w:sz w:val="32"/>
          <w:szCs w:val="40"/>
          <w:highlight w:val="none"/>
          <w:lang w:val="en-US" w:eastAsia="zh-CN"/>
        </w:rPr>
      </w:pPr>
      <w:r>
        <w:rPr>
          <w:rFonts w:hint="default" w:ascii="Times New Roman" w:hAnsi="Times New Roman" w:eastAsia="楷体_GB2312" w:cs="Times New Roman"/>
          <w:b/>
          <w:bCs/>
          <w:color w:val="auto"/>
          <w:sz w:val="32"/>
          <w:szCs w:val="40"/>
          <w:highlight w:val="none"/>
          <w:lang w:val="en-US" w:eastAsia="zh-CN"/>
        </w:rPr>
        <w:t>表1 新建商品住宅项目自评表</w:t>
      </w:r>
    </w:p>
    <w:tbl>
      <w:tblPr>
        <w:tblStyle w:val="1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46"/>
        <w:gridCol w:w="638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特征</w:t>
            </w:r>
          </w:p>
        </w:tc>
        <w:tc>
          <w:tcPr>
            <w:tcW w:w="74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指标</w:t>
            </w:r>
          </w:p>
        </w:tc>
        <w:tc>
          <w:tcPr>
            <w:tcW w:w="6388"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评价内容</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安全</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地基基础、结构耐久、抗震防火、防减灾等满足国家规范要求。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外墙保温材料、室外设备、门帘、雨篷等非结构构件采用安全可靠的防坠落措施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二类高层住宅的耐火等级为一级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结构抗震等级在现行国家标准《建筑抗震设计标准》GB/T 50011规定的基础上提高一级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抗震设防烈度为8度的住宅采用减震技术或隔震技术。</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 w:eastAsia="zh-CN"/>
              </w:rPr>
            </w:pPr>
            <w:r>
              <w:rPr>
                <w:rFonts w:hint="eastAsia" w:ascii="Times New Roman" w:hAnsi="Times New Roman" w:cs="Times New Roman" w:eastAsiaTheme="minorEastAsia"/>
                <w:b w:val="0"/>
                <w:bCs w:val="0"/>
                <w:color w:val="auto"/>
                <w:sz w:val="24"/>
                <w:szCs w:val="32"/>
                <w:highlight w:val="none"/>
                <w:vertAlign w:val="baseline"/>
                <w:lang w:val="en" w:eastAsia="zh-CN"/>
              </w:rPr>
              <w:t>住宅外围护结构采用保温结构一体化或自保温体系。</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室外地面采用防滑材料，或采用涂刷防滑剂、表面开凿、安装防滑带等措施。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住宅公共空间设置呼救系统、急救设施。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住区设置疏散引导系统、消防设施使用引导系统和安全警示系统。</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住区设置高空抛物监控，老年活动场地和儿童活动场地设置无死角监控。</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住区重要基础设施配备应急备用电源，住宅套内配电箱设置Ａ型剩余电流保护器。</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tabs>
                <w:tab w:val="left" w:pos="752"/>
              </w:tabs>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在燃气引入管处设置紧急自动切断装置，户内设置联网型燃气泄漏报警器。</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舒适</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小区位置交通便利，周边具有完善的配套：医疗、教育、商业、公园等（2公里范围内）</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住区绿地率不小于30%，集中绿地占比不小于10%。</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小区配建游乐场、健身步道等休闲娱乐设施。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建筑</w:t>
            </w:r>
            <w:r>
              <w:rPr>
                <w:rFonts w:hint="default" w:ascii="Times New Roman" w:hAnsi="Times New Roman" w:cs="Times New Roman" w:eastAsiaTheme="minorEastAsia"/>
                <w:b w:val="0"/>
                <w:bCs w:val="0"/>
                <w:color w:val="auto"/>
                <w:sz w:val="24"/>
                <w:szCs w:val="32"/>
                <w:highlight w:val="none"/>
                <w:vertAlign w:val="baseline"/>
                <w:lang w:val="en-US" w:eastAsia="zh-CN"/>
              </w:rPr>
              <w:t>总高度不超过80m</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无障碍建设达到国家标准要求。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采用底层架空、风雨连廊等设计，配备室内公共活动空间。</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楼道、门厅等公共空间采用天然采光与自然通风。</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电梯轿厢设置通风空调设施。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烟道、排水管道等采取防串味、堵塞等措施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楼板、围护墙、排水管、外窗等采取隔声降噪措施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户型设计具有灵活性、适变性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户内设置新风系统、采用辐射式供暖</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设置室内空气质量监控与显示系统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厨房、卫生间设机械排风系统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住区设置水质在线监测系统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绿色</w:t>
            </w:r>
          </w:p>
        </w:tc>
        <w:tc>
          <w:tcPr>
            <w:tcW w:w="74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（十万平以上小区）</w:t>
            </w:r>
            <w:r>
              <w:rPr>
                <w:rFonts w:hint="default" w:ascii="Times New Roman" w:hAnsi="Times New Roman" w:cs="Times New Roman" w:eastAsiaTheme="minorEastAsia"/>
                <w:b w:val="0"/>
                <w:bCs w:val="0"/>
                <w:color w:val="auto"/>
                <w:sz w:val="24"/>
                <w:szCs w:val="32"/>
                <w:highlight w:val="none"/>
                <w:vertAlign w:val="baseline"/>
                <w:lang w:val="en-US" w:eastAsia="zh-CN"/>
              </w:rPr>
              <w:t>达到绿色建筑一星级</w:t>
            </w:r>
            <w:r>
              <w:rPr>
                <w:rFonts w:hint="eastAsia" w:ascii="Times New Roman" w:hAnsi="Times New Roman" w:cs="Times New Roman" w:eastAsiaTheme="minorEastAsia"/>
                <w:b w:val="0"/>
                <w:bCs w:val="0"/>
                <w:color w:val="auto"/>
                <w:sz w:val="24"/>
                <w:szCs w:val="32"/>
                <w:highlight w:val="none"/>
                <w:vertAlign w:val="baseline"/>
                <w:lang w:val="en-US" w:eastAsia="zh-CN"/>
              </w:rPr>
              <w:t>及以上。</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采用装配式建造技术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采用装配式装修技术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经认证的</w:t>
            </w:r>
            <w:r>
              <w:rPr>
                <w:rFonts w:hint="default" w:ascii="Times New Roman" w:hAnsi="Times New Roman" w:cs="Times New Roman" w:eastAsiaTheme="minorEastAsia"/>
                <w:b w:val="0"/>
                <w:bCs w:val="0"/>
                <w:color w:val="auto"/>
                <w:sz w:val="24"/>
                <w:szCs w:val="32"/>
                <w:highlight w:val="none"/>
                <w:vertAlign w:val="baseline"/>
                <w:lang w:val="en-US" w:eastAsia="zh-CN"/>
              </w:rPr>
              <w:t>绿色建材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地下车库设置下沉庭院、采光井或导光管等措施，打造绿色阳光生态车库。</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lang w:val="en-US" w:eastAsia="zh-CN"/>
              </w:rPr>
              <w:t>采用供暖空调系统的冷热源机组能效不低于</w:t>
            </w:r>
            <w:r>
              <w:rPr>
                <w:rFonts w:hint="default" w:ascii="Times New Roman" w:hAnsi="Times New Roman" w:cs="Times New Roman" w:eastAsiaTheme="minorEastAsia"/>
                <w:b w:val="0"/>
                <w:bCs w:val="0"/>
                <w:color w:val="auto"/>
                <w:sz w:val="24"/>
                <w:szCs w:val="32"/>
                <w:highlight w:val="none"/>
                <w:lang w:val="en" w:eastAsia="zh-CN"/>
              </w:rPr>
              <w:t>2</w:t>
            </w:r>
            <w:r>
              <w:rPr>
                <w:rFonts w:hint="default" w:ascii="Times New Roman" w:hAnsi="Times New Roman" w:cs="Times New Roman" w:eastAsiaTheme="minorEastAsia"/>
                <w:b w:val="0"/>
                <w:bCs w:val="0"/>
                <w:color w:val="auto"/>
                <w:sz w:val="24"/>
                <w:szCs w:val="32"/>
                <w:highlight w:val="none"/>
                <w:lang w:val="en-US" w:eastAsia="zh-CN"/>
              </w:rPr>
              <w:t>级</w:t>
            </w:r>
            <w:r>
              <w:rPr>
                <w:rFonts w:hint="eastAsia" w:ascii="Times New Roman" w:hAnsi="Times New Roman" w:cs="Times New Roman" w:eastAsiaTheme="minorEastAsia"/>
                <w:b w:val="0"/>
                <w:bCs w:val="0"/>
                <w:color w:val="auto"/>
                <w:sz w:val="24"/>
                <w:szCs w:val="32"/>
                <w:highlight w:val="no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太阳能、地热能、空气能等</w:t>
            </w:r>
            <w:r>
              <w:rPr>
                <w:rFonts w:hint="default" w:ascii="Times New Roman" w:hAnsi="Times New Roman" w:cs="Times New Roman" w:eastAsiaTheme="minorEastAsia"/>
                <w:b w:val="0"/>
                <w:bCs w:val="0"/>
                <w:color w:val="auto"/>
                <w:sz w:val="24"/>
                <w:szCs w:val="32"/>
                <w:highlight w:val="none"/>
                <w:vertAlign w:val="baseline"/>
                <w:lang w:val="en-US" w:eastAsia="zh-CN"/>
              </w:rPr>
              <w:t>可再生能源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用水器具水效等级不低于</w:t>
            </w:r>
            <w:r>
              <w:rPr>
                <w:rFonts w:ascii="Times New Roman" w:hAnsi="Times New Roman" w:cs="Times New Roman" w:eastAsiaTheme="minorEastAsia"/>
                <w:color w:val="auto"/>
                <w:sz w:val="24"/>
                <w:szCs w:val="32"/>
                <w:highlight w:val="none"/>
                <w:lang w:eastAsia="zh-CN"/>
              </w:rPr>
              <w:t>2</w:t>
            </w:r>
            <w:r>
              <w:rPr>
                <w:rFonts w:hint="eastAsia" w:ascii="Times New Roman" w:hAnsi="Times New Roman" w:cs="Times New Roman" w:eastAsiaTheme="minorEastAsia"/>
                <w:color w:val="auto"/>
                <w:sz w:val="24"/>
                <w:szCs w:val="32"/>
                <w:highlight w:val="none"/>
                <w:lang w:eastAsia="zh-CN"/>
              </w:rPr>
              <w:t>级。</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符合</w:t>
            </w:r>
            <w:r>
              <w:rPr>
                <w:rFonts w:hint="default" w:ascii="Times New Roman" w:hAnsi="Times New Roman" w:cs="Times New Roman" w:eastAsiaTheme="minorEastAsia"/>
                <w:b w:val="0"/>
                <w:bCs w:val="0"/>
                <w:color w:val="auto"/>
                <w:sz w:val="24"/>
                <w:szCs w:val="32"/>
                <w:highlight w:val="none"/>
                <w:vertAlign w:val="baseline"/>
                <w:lang w:val="en-US" w:eastAsia="zh-CN"/>
              </w:rPr>
              <w:t>海绵城市</w:t>
            </w:r>
            <w:r>
              <w:rPr>
                <w:rFonts w:hint="eastAsia" w:ascii="Times New Roman" w:hAnsi="Times New Roman" w:cs="Times New Roman" w:eastAsiaTheme="minorEastAsia"/>
                <w:b w:val="0"/>
                <w:bCs w:val="0"/>
                <w:color w:val="auto"/>
                <w:sz w:val="24"/>
                <w:szCs w:val="32"/>
                <w:highlight w:val="none"/>
                <w:vertAlign w:val="baseline"/>
                <w:lang w:val="en-US" w:eastAsia="zh-CN"/>
              </w:rPr>
              <w:t>建设要求。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智慧</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建设满足语音、数字、图像和视频等多媒体信息通信需求的新型基础设施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住区出入口、大堂设置非接触门禁系统，关键部位设置高清数字视频监控、电子围栏等防护设施。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安装智能化车辆管理设施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设置火灾、紧急求助等消防、安防报警系统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搭建区域互联网、物联网体系，包含安防监控系统、智慧物业等内容</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构建智慧养老服务平台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搭建智慧物业管理服务平台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设置智慧灯杆，整合公共照明、通信基站、视频监控、公共广播、一键报警、环境监测、智慧充电等设施。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设置建筑能耗监测系统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预装</w:t>
            </w:r>
            <w:r>
              <w:rPr>
                <w:rFonts w:hint="eastAsia" w:ascii="Times New Roman" w:hAnsi="Times New Roman" w:cs="Times New Roman" w:eastAsiaTheme="minorEastAsia"/>
                <w:b w:val="0"/>
                <w:bCs w:val="0"/>
                <w:color w:val="auto"/>
                <w:sz w:val="24"/>
                <w:szCs w:val="32"/>
                <w:highlight w:val="none"/>
                <w:vertAlign w:val="baseline"/>
                <w:lang w:val="en-US" w:eastAsia="zh-CN"/>
              </w:rPr>
              <w:t>家庭智慧应用或</w:t>
            </w:r>
            <w:r>
              <w:rPr>
                <w:rFonts w:hint="default" w:ascii="Times New Roman" w:hAnsi="Times New Roman" w:cs="Times New Roman" w:eastAsiaTheme="minorEastAsia"/>
                <w:b w:val="0"/>
                <w:bCs w:val="0"/>
                <w:color w:val="auto"/>
                <w:sz w:val="24"/>
                <w:szCs w:val="32"/>
                <w:highlight w:val="none"/>
                <w:vertAlign w:val="baseline"/>
                <w:lang w:val="en-US" w:eastAsia="zh-CN"/>
              </w:rPr>
              <w:t>智能家居系统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bl>
    <w:p>
      <w:pPr>
        <w:numPr>
          <w:ilvl w:val="-1"/>
          <w:numId w:val="0"/>
        </w:numPr>
        <w:ind w:left="0" w:leftChars="0" w:firstLine="0" w:firstLineChars="0"/>
        <w:jc w:val="both"/>
        <w:rPr>
          <w:rFonts w:hint="eastAsia" w:ascii="方正仿宋_GB2312" w:hAnsi="方正仿宋_GB2312" w:eastAsia="方正仿宋_GB2312" w:cs="方正仿宋_GB2312"/>
          <w:b/>
          <w:bCs/>
          <w:color w:val="auto"/>
          <w:sz w:val="28"/>
          <w:szCs w:val="36"/>
          <w:highlight w:val="none"/>
          <w:lang w:val="en-US" w:eastAsia="zh-CN"/>
        </w:rPr>
        <w:sectPr>
          <w:footerReference r:id="rId5" w:type="default"/>
          <w:pgSz w:w="11906" w:h="16838"/>
          <w:pgMar w:top="2098" w:right="1587" w:bottom="2098" w:left="1587" w:header="851" w:footer="1701" w:gutter="0"/>
          <w:pgNumType w:fmt="decimal"/>
          <w:cols w:space="0" w:num="1"/>
          <w:titlePg/>
          <w:rtlGutter w:val="0"/>
          <w:docGrid w:type="linesAndChars" w:linePitch="287" w:charSpace="-2365"/>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eastAsia" w:ascii="Times New Roman" w:hAnsi="Times New Roman" w:eastAsia="楷体_GB2312" w:cs="Times New Roman"/>
          <w:b/>
          <w:bCs/>
          <w:color w:val="auto"/>
          <w:sz w:val="32"/>
          <w:szCs w:val="40"/>
          <w:highlight w:val="none"/>
          <w:lang w:val="en-US" w:eastAsia="zh-CN"/>
        </w:rPr>
      </w:pPr>
      <w:r>
        <w:rPr>
          <w:rFonts w:hint="default" w:ascii="Times New Roman" w:hAnsi="Times New Roman" w:eastAsia="楷体_GB2312" w:cs="Times New Roman"/>
          <w:b/>
          <w:bCs/>
          <w:color w:val="auto"/>
          <w:sz w:val="32"/>
          <w:szCs w:val="40"/>
          <w:highlight w:val="none"/>
          <w:lang w:val="en-US" w:eastAsia="zh-CN"/>
        </w:rPr>
        <w:t>表2  保障性住房项目自评表</w:t>
      </w:r>
    </w:p>
    <w:tbl>
      <w:tblPr>
        <w:tblStyle w:val="10"/>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773"/>
        <w:gridCol w:w="667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特征</w:t>
            </w:r>
          </w:p>
        </w:tc>
        <w:tc>
          <w:tcPr>
            <w:tcW w:w="773"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指标</w:t>
            </w:r>
          </w:p>
        </w:tc>
        <w:tc>
          <w:tcPr>
            <w:tcW w:w="6677"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评价内容</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安全</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地基基础、结构耐久、抗震防火、防减灾等满足国家规范要求。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不</w:t>
            </w:r>
            <w:r>
              <w:rPr>
                <w:rFonts w:ascii="Times New Roman" w:hAnsi="Times New Roman" w:cs="Times New Roman" w:eastAsiaTheme="minorEastAsia"/>
                <w:color w:val="auto"/>
                <w:sz w:val="24"/>
                <w:szCs w:val="32"/>
                <w:highlight w:val="none"/>
                <w:lang w:eastAsia="zh-CN"/>
              </w:rPr>
              <w:t>存在外保温裸露、</w:t>
            </w:r>
            <w:r>
              <w:rPr>
                <w:rFonts w:hint="eastAsia" w:ascii="Times New Roman" w:hAnsi="Times New Roman" w:cs="Times New Roman" w:eastAsiaTheme="minorEastAsia"/>
                <w:color w:val="auto"/>
                <w:sz w:val="24"/>
                <w:szCs w:val="32"/>
                <w:highlight w:val="none"/>
                <w:lang w:eastAsia="zh-CN"/>
              </w:rPr>
              <w:t>构件</w:t>
            </w:r>
            <w:r>
              <w:rPr>
                <w:rFonts w:ascii="Times New Roman" w:hAnsi="Times New Roman" w:cs="Times New Roman" w:eastAsiaTheme="minorEastAsia"/>
                <w:color w:val="auto"/>
                <w:sz w:val="24"/>
                <w:szCs w:val="32"/>
                <w:highlight w:val="none"/>
                <w:lang w:eastAsia="zh-CN"/>
              </w:rPr>
              <w:t>脱落</w:t>
            </w:r>
            <w:r>
              <w:rPr>
                <w:rFonts w:hint="eastAsia" w:ascii="Times New Roman" w:hAnsi="Times New Roman" w:cs="Times New Roman" w:eastAsiaTheme="minorEastAsia"/>
                <w:color w:val="auto"/>
                <w:sz w:val="24"/>
                <w:szCs w:val="32"/>
                <w:highlight w:val="none"/>
                <w:lang w:eastAsia="zh-CN"/>
              </w:rPr>
              <w:t>、消防安全</w:t>
            </w:r>
            <w:r>
              <w:rPr>
                <w:rFonts w:ascii="Times New Roman" w:hAnsi="Times New Roman" w:cs="Times New Roman" w:eastAsiaTheme="minorEastAsia"/>
                <w:color w:val="auto"/>
                <w:sz w:val="24"/>
                <w:szCs w:val="32"/>
                <w:highlight w:val="none"/>
                <w:lang w:eastAsia="zh-CN"/>
              </w:rPr>
              <w:t>等问题隐患</w:t>
            </w:r>
            <w:r>
              <w:rPr>
                <w:rFonts w:hint="eastAsia" w:ascii="Times New Roman" w:hAnsi="Times New Roman" w:cs="Times New Roman" w:eastAsiaTheme="minorEastAsia"/>
                <w:color w:val="auto"/>
                <w:sz w:val="24"/>
                <w:szCs w:val="32"/>
                <w:highlight w:val="none"/>
                <w:lang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结构设计考虑全生命周期的使用需求，选择有利于空间灵活分隔、组合和可持续改造的结构布置</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采用高性能钢筋、高强混凝土材料等提高结构耐久性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住宅外围护结构采用保温结构一体化或自保温体系。</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室外地面采用防滑材料，或采用涂刷防滑剂、表面开凿、安装防滑带等措施。</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舒适</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项目优先选址于公共交通便利、市政基础设施和公共服务设施较为齐全的区域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住区绿地率不小于30%，集中绿地占比不小于10%。</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eastAsia" w:ascii="Times New Roman" w:hAnsi="Times New Roman" w:cs="Times New Roman" w:eastAsiaTheme="minorEastAsia"/>
                <w:b w:val="0"/>
                <w:bCs w:val="0"/>
                <w:snapToGrid w:val="0"/>
                <w:color w:val="auto"/>
                <w:kern w:val="0"/>
                <w:sz w:val="24"/>
                <w:szCs w:val="32"/>
                <w:highlight w:val="none"/>
                <w:vertAlign w:val="baseline"/>
                <w:lang w:val="en-US" w:eastAsia="zh-CN" w:bidi="ar-SA"/>
              </w:rPr>
            </w:pPr>
            <w:r>
              <w:rPr>
                <w:rFonts w:hint="eastAsia" w:ascii="Times New Roman" w:hAnsi="Times New Roman" w:cs="Times New Roman" w:eastAsiaTheme="minorEastAsia"/>
                <w:b w:val="0"/>
                <w:bCs w:val="0"/>
                <w:color w:val="auto"/>
                <w:sz w:val="24"/>
                <w:szCs w:val="32"/>
                <w:highlight w:val="none"/>
                <w:vertAlign w:val="baseline"/>
                <w:lang w:val="en-US" w:eastAsia="zh-CN"/>
              </w:rPr>
              <w:t>小区配建游乐场、健身步道等休闲娱乐设施。</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无障碍建设达到国家标准要求。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ascii="Times New Roman" w:hAnsi="Times New Roman" w:cs="Times New Roman" w:eastAsiaTheme="minorEastAsia"/>
                <w:color w:val="auto"/>
                <w:sz w:val="24"/>
                <w:szCs w:val="32"/>
                <w:highlight w:val="none"/>
                <w:lang w:eastAsia="zh-CN"/>
              </w:rPr>
              <w:t>烟道、排水管道等采取防串味、堵塞等措施</w:t>
            </w:r>
            <w:r>
              <w:rPr>
                <w:rFonts w:hint="eastAsia" w:ascii="Times New Roman" w:hAnsi="Times New Roman" w:cs="Times New Roman" w:eastAsiaTheme="minorEastAsia"/>
                <w:color w:val="auto"/>
                <w:sz w:val="24"/>
                <w:szCs w:val="32"/>
                <w:highlight w:val="none"/>
                <w:lang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用地根据完整居住社区的要求，选择教育、卫生、商业、养老、托幼、文化体育等公共服务设施和市政基础设施完善的区域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功能空间贯彻“全龄友好”理念，宜充分考虑可变性，重点关注建筑全生命周期内家庭成员及生活重心改变带来的住宅空间需求变化</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绿色</w:t>
            </w:r>
          </w:p>
        </w:tc>
        <w:tc>
          <w:tcPr>
            <w:tcW w:w="773"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（十万平以上小区）</w:t>
            </w:r>
            <w:r>
              <w:rPr>
                <w:rFonts w:hint="default" w:ascii="Times New Roman" w:hAnsi="Times New Roman" w:cs="Times New Roman" w:eastAsiaTheme="minorEastAsia"/>
                <w:b w:val="0"/>
                <w:bCs w:val="0"/>
                <w:color w:val="auto"/>
                <w:sz w:val="24"/>
                <w:szCs w:val="32"/>
                <w:highlight w:val="none"/>
                <w:vertAlign w:val="baseline"/>
                <w:lang w:val="en-US" w:eastAsia="zh-CN"/>
              </w:rPr>
              <w:t>达到绿色建筑一星级</w:t>
            </w:r>
            <w:r>
              <w:rPr>
                <w:rFonts w:hint="eastAsia" w:ascii="Times New Roman" w:hAnsi="Times New Roman" w:cs="Times New Roman" w:eastAsiaTheme="minorEastAsia"/>
                <w:b w:val="0"/>
                <w:bCs w:val="0"/>
                <w:color w:val="auto"/>
                <w:sz w:val="24"/>
                <w:szCs w:val="32"/>
                <w:highlight w:val="none"/>
                <w:vertAlign w:val="baseline"/>
                <w:lang w:val="en-US" w:eastAsia="zh-CN"/>
              </w:rPr>
              <w:t>及以上。</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w:t>
            </w:r>
            <w:r>
              <w:rPr>
                <w:rFonts w:hint="eastAsia" w:ascii="Times New Roman" w:hAnsi="Times New Roman" w:cs="Times New Roman" w:eastAsiaTheme="minorEastAsia"/>
                <w:b w:val="0"/>
                <w:bCs w:val="0"/>
                <w:color w:val="auto"/>
                <w:sz w:val="24"/>
                <w:szCs w:val="32"/>
                <w:highlight w:val="none"/>
                <w:vertAlign w:val="baseline"/>
                <w:lang w:val="en-US" w:eastAsia="zh-CN"/>
              </w:rPr>
              <w:t>装配式</w:t>
            </w:r>
            <w:r>
              <w:rPr>
                <w:rFonts w:hint="default" w:ascii="Times New Roman" w:hAnsi="Times New Roman" w:cs="Times New Roman" w:eastAsiaTheme="minorEastAsia"/>
                <w:b w:val="0"/>
                <w:bCs w:val="0"/>
                <w:color w:val="auto"/>
                <w:sz w:val="24"/>
                <w:szCs w:val="32"/>
                <w:highlight w:val="none"/>
                <w:vertAlign w:val="baseline"/>
                <w:lang w:val="en-US" w:eastAsia="zh-CN"/>
              </w:rPr>
              <w:t>建造技术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应用装配式装修技术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经认证的</w:t>
            </w:r>
            <w:r>
              <w:rPr>
                <w:rFonts w:hint="default" w:ascii="Times New Roman" w:hAnsi="Times New Roman" w:cs="Times New Roman" w:eastAsiaTheme="minorEastAsia"/>
                <w:b w:val="0"/>
                <w:bCs w:val="0"/>
                <w:color w:val="auto"/>
                <w:sz w:val="24"/>
                <w:szCs w:val="32"/>
                <w:highlight w:val="none"/>
                <w:vertAlign w:val="baseline"/>
                <w:lang w:val="en-US" w:eastAsia="zh-CN"/>
              </w:rPr>
              <w:t>绿色建材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太阳能、地热能、空气能等</w:t>
            </w:r>
            <w:r>
              <w:rPr>
                <w:rFonts w:hint="default" w:ascii="Times New Roman" w:hAnsi="Times New Roman" w:cs="Times New Roman" w:eastAsiaTheme="minorEastAsia"/>
                <w:b w:val="0"/>
                <w:bCs w:val="0"/>
                <w:color w:val="auto"/>
                <w:sz w:val="24"/>
                <w:szCs w:val="32"/>
                <w:highlight w:val="none"/>
                <w:vertAlign w:val="baseline"/>
                <w:lang w:val="en-US" w:eastAsia="zh-CN"/>
              </w:rPr>
              <w:t>可再生能源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用水器具水效等级不低于</w:t>
            </w:r>
            <w:r>
              <w:rPr>
                <w:rFonts w:ascii="Times New Roman" w:hAnsi="Times New Roman" w:cs="Times New Roman" w:eastAsiaTheme="minorEastAsia"/>
                <w:color w:val="auto"/>
                <w:sz w:val="24"/>
                <w:szCs w:val="32"/>
                <w:highlight w:val="none"/>
                <w:lang w:eastAsia="zh-CN"/>
              </w:rPr>
              <w:t>2</w:t>
            </w:r>
            <w:r>
              <w:rPr>
                <w:rFonts w:hint="eastAsia" w:ascii="Times New Roman" w:hAnsi="Times New Roman" w:cs="Times New Roman" w:eastAsiaTheme="minorEastAsia"/>
                <w:color w:val="auto"/>
                <w:sz w:val="24"/>
                <w:szCs w:val="32"/>
                <w:highlight w:val="none"/>
                <w:lang w:eastAsia="zh-CN"/>
              </w:rPr>
              <w:t>级。</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符合</w:t>
            </w:r>
            <w:r>
              <w:rPr>
                <w:rFonts w:hint="default" w:ascii="Times New Roman" w:hAnsi="Times New Roman" w:cs="Times New Roman" w:eastAsiaTheme="minorEastAsia"/>
                <w:b w:val="0"/>
                <w:bCs w:val="0"/>
                <w:color w:val="auto"/>
                <w:sz w:val="24"/>
                <w:szCs w:val="32"/>
                <w:highlight w:val="none"/>
                <w:vertAlign w:val="baseline"/>
                <w:lang w:val="en-US" w:eastAsia="zh-CN"/>
              </w:rPr>
              <w:t>海绵城市</w:t>
            </w:r>
            <w:r>
              <w:rPr>
                <w:rFonts w:hint="eastAsia" w:ascii="Times New Roman" w:hAnsi="Times New Roman" w:cs="Times New Roman" w:eastAsiaTheme="minorEastAsia"/>
                <w:b w:val="0"/>
                <w:bCs w:val="0"/>
                <w:color w:val="auto"/>
                <w:sz w:val="24"/>
                <w:szCs w:val="32"/>
                <w:highlight w:val="none"/>
                <w:vertAlign w:val="baseline"/>
                <w:lang w:val="en-US" w:eastAsia="zh-CN"/>
              </w:rPr>
              <w:t>建设要求。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智慧</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通信设施采用光纤到户方式建设</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小区人行出入口应设置门禁控制装置，门禁控制系统应预留与物业管理系统联网的通信接口</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安装智能化车辆管理设施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智能化系统应整体规划、同步建设，预留设备互联互通的接口</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建立综合信息管理平台，集成社区党建、综合安防、建筑设备管理、物业管理等系统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搭建智慧物业管理服务平台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设置建筑能耗监测系统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bl>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eastAsia" w:ascii="Times New Roman" w:hAnsi="Times New Roman" w:eastAsia="楷体_GB2312" w:cs="Times New Roman"/>
          <w:b/>
          <w:bCs/>
          <w:color w:val="auto"/>
          <w:sz w:val="32"/>
          <w:szCs w:val="40"/>
          <w:highlight w:val="none"/>
          <w:lang w:val="en-US" w:eastAsia="zh-CN"/>
        </w:rPr>
      </w:pPr>
      <w:r>
        <w:rPr>
          <w:rFonts w:hint="eastAsia" w:ascii="Times New Roman" w:hAnsi="Times New Roman" w:eastAsia="楷体_GB2312" w:cs="Times New Roman"/>
          <w:b/>
          <w:bCs/>
          <w:color w:val="auto"/>
          <w:sz w:val="32"/>
          <w:szCs w:val="40"/>
          <w:highlight w:val="none"/>
          <w:lang w:val="en-US" w:eastAsia="zh-CN"/>
        </w:rPr>
        <w:t>表3 既有</w:t>
      </w:r>
      <w:r>
        <w:rPr>
          <w:rFonts w:hint="default" w:ascii="Times New Roman" w:hAnsi="Times New Roman" w:eastAsia="楷体_GB2312" w:cs="Times New Roman"/>
          <w:b/>
          <w:bCs/>
          <w:color w:val="auto"/>
          <w:sz w:val="32"/>
          <w:szCs w:val="40"/>
          <w:highlight w:val="none"/>
          <w:lang w:val="en-US" w:eastAsia="zh-CN"/>
        </w:rPr>
        <w:t>住宅</w:t>
      </w:r>
      <w:r>
        <w:rPr>
          <w:rFonts w:hint="eastAsia" w:ascii="Times New Roman" w:hAnsi="Times New Roman" w:eastAsia="楷体_GB2312" w:cs="Times New Roman"/>
          <w:b/>
          <w:bCs/>
          <w:color w:val="auto"/>
          <w:sz w:val="32"/>
          <w:szCs w:val="40"/>
          <w:highlight w:val="none"/>
          <w:lang w:val="en-US" w:eastAsia="zh-CN"/>
        </w:rPr>
        <w:t>改造</w:t>
      </w:r>
      <w:r>
        <w:rPr>
          <w:rFonts w:hint="default" w:ascii="Times New Roman" w:hAnsi="Times New Roman" w:eastAsia="楷体_GB2312" w:cs="Times New Roman"/>
          <w:b/>
          <w:bCs/>
          <w:color w:val="auto"/>
          <w:sz w:val="32"/>
          <w:szCs w:val="40"/>
          <w:highlight w:val="none"/>
          <w:lang w:val="en-US" w:eastAsia="zh-CN"/>
        </w:rPr>
        <w:t>项目</w:t>
      </w:r>
      <w:r>
        <w:rPr>
          <w:rFonts w:hint="eastAsia" w:ascii="Times New Roman" w:hAnsi="Times New Roman" w:eastAsia="楷体_GB2312" w:cs="Times New Roman"/>
          <w:b/>
          <w:bCs/>
          <w:color w:val="auto"/>
          <w:sz w:val="32"/>
          <w:szCs w:val="40"/>
          <w:highlight w:val="none"/>
          <w:lang w:val="en-US" w:eastAsia="zh-CN"/>
        </w:rPr>
        <w:t>自评表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641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指标</w:t>
            </w:r>
          </w:p>
        </w:tc>
        <w:tc>
          <w:tcPr>
            <w:tcW w:w="62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评价内容</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restart"/>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w:t>
            </w:r>
            <w:r>
              <w:rPr>
                <w:rFonts w:hint="default" w:ascii="Times New Roman" w:hAnsi="Times New Roman" w:cs="Times New Roman" w:eastAsiaTheme="minorEastAsia"/>
                <w:b/>
                <w:bCs/>
                <w:color w:val="auto"/>
                <w:sz w:val="24"/>
                <w:szCs w:val="24"/>
                <w:highlight w:val="none"/>
                <w:vertAlign w:val="baseline"/>
                <w:lang w:val="en-US" w:eastAsia="zh-CN"/>
              </w:rPr>
              <w:t>指标</w:t>
            </w: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b w:val="0"/>
                <w:bCs w:val="0"/>
                <w:color w:val="auto"/>
                <w:sz w:val="24"/>
                <w:szCs w:val="24"/>
                <w:highlight w:val="none"/>
                <w:vertAlign w:val="baseline"/>
                <w:lang w:val="en-US" w:eastAsia="zh-CN"/>
              </w:rPr>
              <w:t>完善社区综合服务站</w:t>
            </w:r>
            <w:r>
              <w:rPr>
                <w:rFonts w:hint="eastAsia" w:ascii="Times New Roman" w:hAnsi="Times New Roman" w:cs="Times New Roman" w:eastAsiaTheme="minorEastAsia"/>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老年服务站、社区卫生服务站等</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0"/>
                <w:sz w:val="24"/>
                <w:szCs w:val="24"/>
                <w:highlight w:val="none"/>
                <w:lang w:val="en-US" w:eastAsia="zh-CN" w:bidi="ar"/>
              </w:rPr>
              <w:t>优先改造供水、雨水、供热、污水、燃气、电力、通信等地下管线和破损道路</w:t>
            </w:r>
            <w:r>
              <w:rPr>
                <w:rFonts w:hint="eastAsia" w:ascii="Times New Roman" w:hAnsi="Times New Roman" w:cs="Times New Roman" w:eastAsiaTheme="minorEastAsia"/>
                <w:color w:val="auto"/>
                <w:kern w:val="0"/>
                <w:sz w:val="24"/>
                <w:szCs w:val="24"/>
                <w:highlight w:val="none"/>
                <w:lang w:val="en-US" w:eastAsia="zh-CN" w:bidi="ar"/>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合理增加停车位和充电车棚，解决停车、充电问题</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restart"/>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优选指标</w:t>
            </w: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因地制宜改造宅间绿地、空地等空间，至少增加一处公共活动场地，面积不小于150㎡</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设置社区食堂、</w:t>
            </w:r>
            <w:r>
              <w:rPr>
                <w:rFonts w:hint="eastAsia" w:ascii="Times New Roman" w:hAnsi="Times New Roman" w:cs="Times New Roman" w:eastAsiaTheme="minorEastAsia"/>
                <w:b w:val="0"/>
                <w:bCs w:val="0"/>
                <w:color w:val="auto"/>
                <w:sz w:val="24"/>
                <w:szCs w:val="24"/>
                <w:highlight w:val="none"/>
                <w:vertAlign w:val="baseline"/>
                <w:lang w:val="en" w:eastAsia="zh-CN"/>
              </w:rPr>
              <w:t>便民商业网点、快递服务等便民设施。</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eastAsia"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设置老年人日间照料中心及托育场所。</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完善小区道路、扶手、电梯、平台等无障碍设施并与周边道路连贯。</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b w:val="0"/>
                <w:bCs w:val="0"/>
                <w:color w:val="auto"/>
                <w:sz w:val="24"/>
                <w:szCs w:val="24"/>
                <w:highlight w:val="none"/>
                <w:vertAlign w:val="baseline"/>
                <w:lang w:val="en-US" w:eastAsia="zh-CN"/>
              </w:rPr>
              <w:t>加装电梯，轿厢满足一轮椅一陪护</w:t>
            </w:r>
            <w:r>
              <w:rPr>
                <w:rFonts w:hint="eastAsia" w:ascii="Times New Roman" w:hAnsi="Times New Roman" w:cs="Times New Roman" w:eastAsiaTheme="minorEastAsia"/>
                <w:b w:val="0"/>
                <w:bCs w:val="0"/>
                <w:color w:val="auto"/>
                <w:sz w:val="24"/>
                <w:szCs w:val="24"/>
                <w:highlight w:val="none"/>
                <w:vertAlign w:val="baseline"/>
                <w:lang w:val="en-US" w:eastAsia="zh-CN"/>
              </w:rPr>
              <w:t>要求。</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开展建筑外墙、</w:t>
            </w:r>
            <w:r>
              <w:rPr>
                <w:rFonts w:hint="eastAsia" w:ascii="Times New Roman" w:hAnsi="Times New Roman" w:cs="Times New Roman" w:eastAsiaTheme="minorEastAsia"/>
                <w:b w:val="0"/>
                <w:bCs w:val="0"/>
                <w:color w:val="auto"/>
                <w:sz w:val="24"/>
                <w:szCs w:val="24"/>
                <w:highlight w:val="none"/>
                <w:vertAlign w:val="baseline"/>
                <w:lang w:val="en-US" w:eastAsia="zh-CN"/>
              </w:rPr>
              <w:t>门窗</w:t>
            </w:r>
            <w:r>
              <w:rPr>
                <w:rFonts w:hint="default" w:ascii="Times New Roman" w:hAnsi="Times New Roman" w:cs="Times New Roman" w:eastAsiaTheme="minorEastAsia"/>
                <w:b w:val="0"/>
                <w:bCs w:val="0"/>
                <w:color w:val="auto"/>
                <w:sz w:val="24"/>
                <w:szCs w:val="24"/>
                <w:highlight w:val="none"/>
                <w:vertAlign w:val="baseline"/>
                <w:lang w:val="en-US" w:eastAsia="zh-CN"/>
              </w:rPr>
              <w:t>等节能改造</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应</w:t>
            </w:r>
            <w:r>
              <w:rPr>
                <w:rFonts w:hint="default" w:ascii="Times New Roman" w:hAnsi="Times New Roman" w:cs="Times New Roman" w:eastAsiaTheme="minorEastAsia"/>
                <w:b w:val="0"/>
                <w:bCs w:val="0"/>
                <w:color w:val="auto"/>
                <w:sz w:val="24"/>
                <w:szCs w:val="24"/>
                <w:highlight w:val="none"/>
                <w:vertAlign w:val="baseline"/>
                <w:lang w:val="en-US" w:eastAsia="zh-CN"/>
              </w:rPr>
              <w:t>用可再生能源技术</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采用装配式装修技术</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推动5G网络进社区，建设社区智能安防设施及系统</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增加门禁系统、智慧安防</w:t>
            </w:r>
            <w:r>
              <w:rPr>
                <w:rFonts w:hint="eastAsia" w:ascii="Times New Roman" w:hAnsi="Times New Roman" w:cs="Times New Roman" w:eastAsiaTheme="minorEastAsia"/>
                <w:b w:val="0"/>
                <w:bCs w:val="0"/>
                <w:color w:val="auto"/>
                <w:sz w:val="24"/>
                <w:szCs w:val="24"/>
                <w:highlight w:val="none"/>
                <w:vertAlign w:val="baseline"/>
                <w:lang w:val="en-US" w:eastAsia="zh-CN"/>
              </w:rPr>
              <w:t>等</w:t>
            </w:r>
            <w:r>
              <w:rPr>
                <w:rFonts w:hint="default" w:ascii="Times New Roman" w:hAnsi="Times New Roman" w:cs="Times New Roman" w:eastAsiaTheme="minorEastAsia"/>
                <w:b w:val="0"/>
                <w:bCs w:val="0"/>
                <w:color w:val="auto"/>
                <w:sz w:val="24"/>
                <w:szCs w:val="24"/>
                <w:highlight w:val="none"/>
                <w:vertAlign w:val="baseline"/>
                <w:lang w:val="en-US" w:eastAsia="zh-CN"/>
              </w:rPr>
              <w:t>智慧化物业管理措施</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bl>
    <w:p>
      <w:pPr>
        <w:numPr>
          <w:ilvl w:val="0"/>
          <w:numId w:val="0"/>
        </w:numPr>
        <w:ind w:leftChars="0"/>
        <w:jc w:val="both"/>
        <w:rPr>
          <w:rFonts w:hint="default" w:ascii="方正仿宋_GB2312" w:hAnsi="方正仿宋_GB2312" w:eastAsia="方正仿宋_GB2312" w:cs="方正仿宋_GB2312"/>
          <w:b/>
          <w:bCs/>
          <w:color w:val="auto"/>
          <w:sz w:val="24"/>
          <w:szCs w:val="24"/>
          <w:highlight w:val="none"/>
          <w:lang w:val="en-US" w:eastAsia="zh-CN"/>
        </w:rPr>
      </w:pPr>
    </w:p>
    <w:p>
      <w:pPr>
        <w:pStyle w:val="2"/>
        <w:rPr>
          <w:rFonts w:hint="default" w:ascii="方正仿宋_GB2312" w:hAnsi="方正仿宋_GB2312" w:eastAsia="方正仿宋_GB2312" w:cs="方正仿宋_GB2312"/>
          <w:b/>
          <w:bCs/>
          <w:color w:val="auto"/>
          <w:sz w:val="24"/>
          <w:szCs w:val="24"/>
          <w:highlight w:val="none"/>
          <w:lang w:val="en-US" w:eastAsia="zh-CN"/>
        </w:rPr>
      </w:pPr>
    </w:p>
    <w:p>
      <w:pPr>
        <w:rPr>
          <w:rFonts w:hint="default"/>
          <w:lang w:val="en-US" w:eastAsia="zh-CN"/>
        </w:rPr>
      </w:pPr>
    </w:p>
    <w:p>
      <w:pPr>
        <w:spacing w:line="100" w:lineRule="exact"/>
        <w:rPr>
          <w:rFonts w:hint="default"/>
          <w:lang w:val="en-US" w:eastAsia="zh-CN"/>
        </w:rPr>
      </w:pPr>
    </w:p>
    <w:sectPr>
      <w:footerReference r:id="rId6" w:type="default"/>
      <w:pgSz w:w="11906" w:h="16838"/>
      <w:pgMar w:top="2098" w:right="1587" w:bottom="2098" w:left="1587" w:header="851" w:footer="1701" w:gutter="0"/>
      <w:pgNumType w:fmt="decimal"/>
      <w:cols w:space="0" w:num="1"/>
      <w:rtlGutter w:val="0"/>
      <w:docGrid w:type="linesAndChars" w:linePitch="287" w:charSpace="-2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Palatino Linotype Roman">
    <w:altName w:val="汉仪中宋简"/>
    <w:panose1 w:val="0201060001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saveSubsetFonts/>
  <w:bordersDoNotSurroundHeader w:val="false"/>
  <w:bordersDoNotSurroundFooter w:val="false"/>
  <w:trackRevisions w:val="true"/>
  <w:documentProtection w:enforcement="0"/>
  <w:drawingGridHorizontalSpacing w:val="99"/>
  <w:drawingGridVerticalSpacing w:val="144"/>
  <w:displayHorizontalDrawingGridEvery w:val="2"/>
  <w:displayVerticalDrawingGridEvery w:val="2"/>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mVhYWRlMmNkZDkzNzdmZGI0NGU4ODdhMTdlYjVmYzcifQ=="/>
  </w:docVars>
  <w:rsids>
    <w:rsidRoot w:val="00000000"/>
    <w:rsid w:val="0064210E"/>
    <w:rsid w:val="07117EF5"/>
    <w:rsid w:val="082F0A7E"/>
    <w:rsid w:val="0B941820"/>
    <w:rsid w:val="0CC003F3"/>
    <w:rsid w:val="0E65751C"/>
    <w:rsid w:val="0FD25339"/>
    <w:rsid w:val="12B1333A"/>
    <w:rsid w:val="13C5225F"/>
    <w:rsid w:val="18253800"/>
    <w:rsid w:val="184E0FA9"/>
    <w:rsid w:val="1D440485"/>
    <w:rsid w:val="20384A18"/>
    <w:rsid w:val="21572EA6"/>
    <w:rsid w:val="22261CD2"/>
    <w:rsid w:val="222A5F92"/>
    <w:rsid w:val="22596EC8"/>
    <w:rsid w:val="23386ADD"/>
    <w:rsid w:val="24747FE9"/>
    <w:rsid w:val="265C0D35"/>
    <w:rsid w:val="282E08B1"/>
    <w:rsid w:val="2F6F199E"/>
    <w:rsid w:val="320674BA"/>
    <w:rsid w:val="32340DB8"/>
    <w:rsid w:val="3280357A"/>
    <w:rsid w:val="32FF19F8"/>
    <w:rsid w:val="343D03F7"/>
    <w:rsid w:val="36356F10"/>
    <w:rsid w:val="37875169"/>
    <w:rsid w:val="38D33919"/>
    <w:rsid w:val="38F512A1"/>
    <w:rsid w:val="3973BF0A"/>
    <w:rsid w:val="3B0921D0"/>
    <w:rsid w:val="3C95700C"/>
    <w:rsid w:val="3D3872AB"/>
    <w:rsid w:val="3F3629BF"/>
    <w:rsid w:val="3FEF895B"/>
    <w:rsid w:val="3FF58568"/>
    <w:rsid w:val="40377578"/>
    <w:rsid w:val="40AA51ED"/>
    <w:rsid w:val="427F0774"/>
    <w:rsid w:val="45911686"/>
    <w:rsid w:val="47A10846"/>
    <w:rsid w:val="4802100E"/>
    <w:rsid w:val="497C6E74"/>
    <w:rsid w:val="49973CAE"/>
    <w:rsid w:val="4A8C7B31"/>
    <w:rsid w:val="4B012739"/>
    <w:rsid w:val="4B5E83E0"/>
    <w:rsid w:val="4BC38DCF"/>
    <w:rsid w:val="4D8B6EF6"/>
    <w:rsid w:val="4FE87338"/>
    <w:rsid w:val="51ED9240"/>
    <w:rsid w:val="52E16391"/>
    <w:rsid w:val="56F66377"/>
    <w:rsid w:val="571E326A"/>
    <w:rsid w:val="5A7DE9AA"/>
    <w:rsid w:val="5D530B71"/>
    <w:rsid w:val="5DA36C6E"/>
    <w:rsid w:val="5FB18F75"/>
    <w:rsid w:val="604D30D2"/>
    <w:rsid w:val="63BC3286"/>
    <w:rsid w:val="661F4C6F"/>
    <w:rsid w:val="66F53BD9"/>
    <w:rsid w:val="677E84B0"/>
    <w:rsid w:val="67F3C99F"/>
    <w:rsid w:val="69034A64"/>
    <w:rsid w:val="6AB24EC6"/>
    <w:rsid w:val="6CD325A6"/>
    <w:rsid w:val="6F881820"/>
    <w:rsid w:val="6FA1BB44"/>
    <w:rsid w:val="6FBB862A"/>
    <w:rsid w:val="700D67B8"/>
    <w:rsid w:val="70B4235F"/>
    <w:rsid w:val="717645B6"/>
    <w:rsid w:val="762027B2"/>
    <w:rsid w:val="76D17F50"/>
    <w:rsid w:val="76FDE120"/>
    <w:rsid w:val="77930D57"/>
    <w:rsid w:val="77D7ABCA"/>
    <w:rsid w:val="791A5BDE"/>
    <w:rsid w:val="79D729FE"/>
    <w:rsid w:val="79E461EC"/>
    <w:rsid w:val="7A8F8725"/>
    <w:rsid w:val="7BFFED3D"/>
    <w:rsid w:val="7D680C9C"/>
    <w:rsid w:val="7D8D090B"/>
    <w:rsid w:val="7DFF6978"/>
    <w:rsid w:val="7E1E3C6D"/>
    <w:rsid w:val="7EFBB93D"/>
    <w:rsid w:val="7F2874B5"/>
    <w:rsid w:val="7F7D02D3"/>
    <w:rsid w:val="7F9BC569"/>
    <w:rsid w:val="7F9D18B8"/>
    <w:rsid w:val="8BDC74F9"/>
    <w:rsid w:val="92B16AF5"/>
    <w:rsid w:val="9B7FA51D"/>
    <w:rsid w:val="9DDDCA34"/>
    <w:rsid w:val="A65F2464"/>
    <w:rsid w:val="A775D570"/>
    <w:rsid w:val="B3FD129F"/>
    <w:rsid w:val="BBF51C16"/>
    <w:rsid w:val="BDCF2153"/>
    <w:rsid w:val="C37CC70D"/>
    <w:rsid w:val="CB4F1C0C"/>
    <w:rsid w:val="CCFFEA4D"/>
    <w:rsid w:val="D7FA431A"/>
    <w:rsid w:val="DF677620"/>
    <w:rsid w:val="DFBE78D8"/>
    <w:rsid w:val="DFE31A89"/>
    <w:rsid w:val="DFFBAF7A"/>
    <w:rsid w:val="E3F31304"/>
    <w:rsid w:val="EBF6A9DF"/>
    <w:rsid w:val="EEFE7572"/>
    <w:rsid w:val="EF3EB414"/>
    <w:rsid w:val="EF791BC7"/>
    <w:rsid w:val="EF798D93"/>
    <w:rsid w:val="F4BE005F"/>
    <w:rsid w:val="F7735C77"/>
    <w:rsid w:val="F7932C1E"/>
    <w:rsid w:val="F7EB6AA0"/>
    <w:rsid w:val="F91F0234"/>
    <w:rsid w:val="FB971B0F"/>
    <w:rsid w:val="FBBDF8FD"/>
    <w:rsid w:val="FDAEBE24"/>
    <w:rsid w:val="FEFB96C6"/>
    <w:rsid w:val="FF4B62F3"/>
    <w:rsid w:val="FFA485D0"/>
    <w:rsid w:val="FFCD46AA"/>
    <w:rsid w:val="FFDFAAEA"/>
    <w:rsid w:val="FFF77921"/>
    <w:rsid w:val="FFFBCD6C"/>
    <w:rsid w:val="FFFD9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420" w:firstLineChars="200"/>
    </w:pPr>
    <w:rPr>
      <w:rFonts w:ascii="仿宋" w:hAnsi="仿宋" w:eastAsia="仿宋" w:cs="仿宋"/>
      <w:sz w:val="30"/>
      <w:szCs w:val="30"/>
    </w:rPr>
  </w:style>
  <w:style w:type="paragraph" w:styleId="3">
    <w:name w:val="Body Text Indent"/>
    <w:basedOn w:val="1"/>
    <w:next w:val="4"/>
    <w:qFormat/>
    <w:uiPriority w:val="0"/>
    <w:pPr>
      <w:ind w:firstLine="420" w:firstLineChars="200"/>
    </w:pPr>
    <w:rPr>
      <w:rFonts w:eastAsia="仿宋_GB2312"/>
      <w:kern w:val="0"/>
      <w:sz w:val="20"/>
    </w:rPr>
  </w:style>
  <w:style w:type="paragraph" w:styleId="4">
    <w:name w:val="Body Text First Indent 2"/>
    <w:basedOn w:val="3"/>
    <w:next w:val="1"/>
    <w:qFormat/>
    <w:uiPriority w:val="0"/>
    <w:pPr>
      <w:ind w:left="0" w:firstLine="40"/>
    </w:pPr>
    <w:rPr>
      <w:rFonts w:ascii="仿宋_GB2312" w:hAnsi="仿宋_GB2312" w:eastAsia="仿宋" w:cs="仿宋_GB2312"/>
      <w:sz w:val="32"/>
      <w:szCs w:val="32"/>
    </w:rPr>
  </w:style>
  <w:style w:type="paragraph" w:styleId="5">
    <w:name w:val="Body Text Indent 2"/>
    <w:basedOn w:val="1"/>
    <w:unhideWhenUsed/>
    <w:qFormat/>
    <w:uiPriority w:val="99"/>
    <w:pPr>
      <w:spacing w:after="120" w:afterLines="0" w:afterAutospacing="0" w:line="480" w:lineRule="auto"/>
      <w:ind w:left="420" w:leftChars="200"/>
    </w:p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BodyTextIndent2"/>
    <w:basedOn w:val="1"/>
    <w:qFormat/>
    <w:uiPriority w:val="0"/>
    <w:pPr>
      <w:spacing w:after="120" w:line="480" w:lineRule="auto"/>
      <w:ind w:left="420" w:leftChars="20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3652</Words>
  <Characters>3727</Characters>
  <TotalTime>0</TotalTime>
  <ScaleCrop>false</ScaleCrop>
  <LinksUpToDate>false</LinksUpToDate>
  <CharactersWithSpaces>4023</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2026-04-11T13:11:00Z</dcterms:created>
  <dc:creator>Lenovo</dc:creator>
  <cp:lastModifiedBy>huanghe</cp:lastModifiedBy>
  <cp:lastPrinted>2026-04-30T14:58:00Z</cp:lastPrinted>
  <dcterms:modified xsi:type="dcterms:W3CDTF">2026-04-30T17:03:59Z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2026-04-01T21:11:12Z</vt:filetime>
  </property>
  <property fmtid="{D5CDD505-2E9C-101B-9397-08002B2CF9AE}" pid="4" name="UsrData">
    <vt:lpwstr>69cd196b5b4fbf001f1444aawl</vt:lpwstr>
  </property>
  <property fmtid="{D5CDD505-2E9C-101B-9397-08002B2CF9AE}" pid="5" name="KSOTemplateDocerSaveRecord">
    <vt:lpwstr>eyJoZGlkIjoiYzYyNzY3Yjk5YjA4YTlkZjBlNzc4ZmIxZThkOTk4YjUiLCJ1c2VySWQiOiI2MDI5ODQzNzkifQ==</vt:lpwstr>
  </property>
  <property fmtid="{D5CDD505-2E9C-101B-9397-08002B2CF9AE}" pid="6" name="KSOProductBuildVer">
    <vt:lpwstr>2052-11.8.2.10489</vt:lpwstr>
  </property>
  <property fmtid="{D5CDD505-2E9C-101B-9397-08002B2CF9AE}" pid="7" name="ICV">
    <vt:lpwstr>54BB48DEE5EB4C79A3F3B19F2FFB2063_13</vt:lpwstr>
  </property>
</Properties>
</file>